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8CE" w:rsidRPr="002548CE" w:rsidRDefault="001E78BF" w:rsidP="002548CE">
      <w:pPr>
        <w:spacing w:before="240" w:after="60"/>
        <w:jc w:val="center"/>
        <w:outlineLvl w:val="0"/>
        <w:rPr>
          <w:rFonts w:ascii="微軟正黑體" w:eastAsia="微軟正黑體" w:hAnsi="微軟正黑體" w:cstheme="majorBidi"/>
          <w:b/>
          <w:bCs/>
          <w:sz w:val="28"/>
          <w:szCs w:val="28"/>
        </w:rPr>
      </w:pPr>
      <w:r w:rsidRPr="001E78BF">
        <w:rPr>
          <w:rFonts w:ascii="微軟正黑體" w:eastAsia="微軟正黑體" w:hAnsi="微軟正黑體" w:cstheme="majorBidi" w:hint="eastAsia"/>
          <w:b/>
          <w:bCs/>
          <w:sz w:val="28"/>
          <w:szCs w:val="28"/>
        </w:rPr>
        <w:t>輔仁大學</w:t>
      </w:r>
      <w:r>
        <w:rPr>
          <w:rFonts w:ascii="微軟正黑體" w:eastAsia="微軟正黑體" w:hAnsi="微軟正黑體" w:cstheme="majorBidi" w:hint="eastAsia"/>
          <w:b/>
          <w:bCs/>
          <w:sz w:val="28"/>
          <w:szCs w:val="28"/>
        </w:rPr>
        <w:t>_</w:t>
      </w:r>
      <w:r w:rsidRPr="001E78BF">
        <w:rPr>
          <w:rFonts w:ascii="微軟正黑體" w:eastAsia="微軟正黑體" w:hAnsi="微軟正黑體" w:cstheme="majorBidi" w:hint="eastAsia"/>
          <w:b/>
          <w:bCs/>
          <w:sz w:val="28"/>
          <w:szCs w:val="28"/>
        </w:rPr>
        <w:t>管理學院</w:t>
      </w:r>
    </w:p>
    <w:p w:rsidR="002548CE" w:rsidRPr="002548CE" w:rsidRDefault="002548CE" w:rsidP="002548CE">
      <w:pPr>
        <w:spacing w:before="240" w:after="60"/>
        <w:jc w:val="center"/>
        <w:outlineLvl w:val="0"/>
        <w:rPr>
          <w:rFonts w:ascii="微軟正黑體" w:eastAsia="微軟正黑體" w:hAnsi="微軟正黑體" w:cstheme="majorBidi"/>
          <w:b/>
          <w:bCs/>
          <w:sz w:val="28"/>
          <w:szCs w:val="28"/>
        </w:rPr>
      </w:pPr>
      <w:r w:rsidRPr="002548CE">
        <w:rPr>
          <w:rFonts w:ascii="微軟正黑體" w:eastAsia="微軟正黑體" w:hAnsi="微軟正黑體" w:cstheme="majorBidi" w:hint="eastAsia"/>
          <w:b/>
          <w:bCs/>
          <w:sz w:val="32"/>
          <w:szCs w:val="24"/>
        </w:rPr>
        <w:t>台灣保樂力加 儲備菁英人才招募計畫</w:t>
      </w:r>
    </w:p>
    <w:p w:rsidR="002548CE" w:rsidRPr="002548CE" w:rsidRDefault="002548CE" w:rsidP="002548CE">
      <w:pPr>
        <w:snapToGrid w:val="0"/>
        <w:rPr>
          <w:rFonts w:ascii="微軟正黑體" w:eastAsia="微軟正黑體" w:hAnsi="微軟正黑體"/>
          <w:b/>
          <w:szCs w:val="24"/>
        </w:rPr>
      </w:pPr>
      <w:r w:rsidRPr="002548CE">
        <w:rPr>
          <w:rFonts w:ascii="微軟正黑體" w:eastAsia="微軟正黑體" w:hAnsi="微軟正黑體" w:hint="eastAsia"/>
          <w:b/>
          <w:szCs w:val="24"/>
        </w:rPr>
        <w:t>【徵才】台灣保樂力加 儲備菁英人才招募計畫</w:t>
      </w:r>
    </w:p>
    <w:p w:rsidR="002548CE" w:rsidRPr="002548CE" w:rsidRDefault="002548CE" w:rsidP="002548CE">
      <w:pPr>
        <w:snapToGrid w:val="0"/>
        <w:ind w:left="142"/>
        <w:jc w:val="center"/>
        <w:rPr>
          <w:rFonts w:ascii="微軟正黑體" w:eastAsia="微軟正黑體" w:hAnsi="微軟正黑體"/>
          <w:b/>
          <w:szCs w:val="24"/>
        </w:rPr>
      </w:pPr>
      <w:r w:rsidRPr="002548CE">
        <w:rPr>
          <w:rFonts w:ascii="微軟正黑體" w:eastAsia="微軟正黑體" w:hAnsi="微軟正黑體"/>
          <w:b/>
          <w:noProof/>
          <w:szCs w:val="24"/>
        </w:rPr>
        <w:drawing>
          <wp:inline distT="0" distB="0" distL="0" distR="0" wp14:anchorId="45E59F7B" wp14:editId="15240023">
            <wp:extent cx="5568316" cy="2466975"/>
            <wp:effectExtent l="0" t="0" r="0" b="9525"/>
            <wp:docPr id="1" name="圖片 1" descr="\\NAS2341A1\Public\傳晞國際數位公關有限公司\2019 專案執行\2019_保樂力加\2019_保樂力加_MT-Program_網頁設計\2019_保樂力加_MT-Program_網頁設計banner01_FINAL_20190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2341A1\Public\傳晞國際數位公關有限公司\2019 專案執行\2019_保樂力加\2019_保樂力加_MT-Program_網頁設計\2019_保樂力加_MT-Program_網頁設計banner01_FINAL_2019050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80845" cy="2472526"/>
                    </a:xfrm>
                    <a:prstGeom prst="rect">
                      <a:avLst/>
                    </a:prstGeom>
                    <a:noFill/>
                    <a:ln>
                      <a:noFill/>
                    </a:ln>
                  </pic:spPr>
                </pic:pic>
              </a:graphicData>
            </a:graphic>
          </wp:inline>
        </w:drawing>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*2019 台灣保樂力加儲備菁英</w:t>
      </w:r>
      <w:r w:rsidR="006B0251">
        <w:rPr>
          <w:rFonts w:ascii="微軟正黑體" w:eastAsia="微軟正黑體" w:hAnsi="微軟正黑體" w:hint="eastAsia"/>
          <w:szCs w:val="24"/>
        </w:rPr>
        <w:t>招募</w:t>
      </w:r>
      <w:bookmarkStart w:id="0" w:name="_GoBack"/>
      <w:bookmarkEnd w:id="0"/>
      <w:r w:rsidRPr="002548CE">
        <w:rPr>
          <w:rFonts w:ascii="微軟正黑體" w:eastAsia="微軟正黑體" w:hAnsi="微軟正黑體" w:hint="eastAsia"/>
          <w:szCs w:val="24"/>
        </w:rPr>
        <w:t>計畫*</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【工作內容】</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szCs w:val="24"/>
        </w:rPr>
        <w:t xml:space="preserve">[Who are we?]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szCs w:val="24"/>
        </w:rPr>
        <w:t>Pernod Ricard is the premium spirits and wine company. The company's leading spirits and wines include such prestigious brands as ABSOLUT® Vodka, Chivas Regal® Scotch Whisky, The Glenlivet® Single Malt Scotch Whisky, Jameson® Irish Whiskey, Malibu®, Kahlúa</w:t>
      </w:r>
      <w:r w:rsidRPr="002548CE">
        <w:rPr>
          <w:rFonts w:ascii="微軟正黑體" w:eastAsia="微軟正黑體" w:hAnsi="微軟正黑體" w:hint="eastAsia"/>
          <w:szCs w:val="24"/>
        </w:rPr>
        <w:t>®</w:t>
      </w:r>
      <w:r w:rsidRPr="002548CE">
        <w:rPr>
          <w:rFonts w:ascii="微軟正黑體" w:eastAsia="微軟正黑體" w:hAnsi="微軟正黑體"/>
          <w:szCs w:val="24"/>
        </w:rPr>
        <w:t xml:space="preserve"> Liqueur, Beefeater® Gin; such superior wines as Jacob's Creek® ; and such exquisite champagnes and sparkling wines as Perrier-Jouët® Champagne, G.H. Mumm™ Champagne and Mumm Napa® sparkling wines. Learn more about our history, values, strategies and organization by visiting us at https://www.pernod-ricard.com/en </w:t>
      </w:r>
    </w:p>
    <w:p w:rsidR="002548CE" w:rsidRPr="002548CE" w:rsidRDefault="002548CE" w:rsidP="002548CE">
      <w:pPr>
        <w:snapToGrid w:val="0"/>
        <w:ind w:left="360"/>
        <w:rPr>
          <w:rFonts w:ascii="微軟正黑體" w:eastAsia="微軟正黑體" w:hAnsi="微軟正黑體"/>
          <w:szCs w:val="24"/>
        </w:rPr>
      </w:pP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szCs w:val="24"/>
        </w:rPr>
        <w:t xml:space="preserve">[Working at Pernod Ricard]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szCs w:val="24"/>
        </w:rPr>
        <w:t xml:space="preserve">Working for Pernod Ricard means working for the co-leader in the global wines and spirits industry – and having the opportunity to work with great people and great brands in diverse and challenging roles. </w:t>
      </w:r>
      <w:r w:rsidRPr="002548CE">
        <w:rPr>
          <w:rFonts w:ascii="微軟正黑體" w:eastAsia="微軟正黑體" w:hAnsi="微軟正黑體"/>
          <w:szCs w:val="24"/>
        </w:rPr>
        <w:lastRenderedPageBreak/>
        <w:t xml:space="preserve">Our success is the result of the passion and creativity of our people, our exceptional portfolio of leading premium brands, and a shared commitment to our values of entrepreneurship, mutual trust, and a strong sense of ethics. Pernod Ricard rewards both individual initiative and a spirit of collaboration, and encourages ongoing professional development. Pernod Ricard recognizes the importance of continuously building upon our diverse workforce and inclusive culture. We believe in championing an inclusive culture that embraces differences and encourages employees to challenge themselves and their colleagues. </w:t>
      </w:r>
    </w:p>
    <w:p w:rsidR="002548CE" w:rsidRPr="002548CE" w:rsidRDefault="002548CE" w:rsidP="002548CE">
      <w:pPr>
        <w:snapToGrid w:val="0"/>
        <w:ind w:left="360"/>
        <w:rPr>
          <w:rFonts w:ascii="微軟正黑體" w:eastAsia="微軟正黑體" w:hAnsi="微軟正黑體"/>
          <w:szCs w:val="24"/>
        </w:rPr>
      </w:pP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szCs w:val="24"/>
        </w:rPr>
        <w:t xml:space="preserve">[Management Trainee Program]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szCs w:val="24"/>
        </w:rPr>
        <w:t>It is an 24-month program designed to grow your interpersonal and leadership skills as well as functional competencies in your chosen " focus" function. As a Management Trainee, you will receive extensive training and development experience during this period. You will gain exposure through rotations to other functions/Channel across our business and gain diverse market experience through placements to other countries.</w:t>
      </w:r>
    </w:p>
    <w:p w:rsidR="002548CE" w:rsidRPr="002548CE" w:rsidRDefault="002548CE" w:rsidP="002548CE">
      <w:pPr>
        <w:snapToGrid w:val="0"/>
        <w:ind w:left="360"/>
        <w:rPr>
          <w:rFonts w:ascii="微軟正黑體" w:eastAsia="微軟正黑體" w:hAnsi="微軟正黑體"/>
          <w:szCs w:val="24"/>
        </w:rPr>
      </w:pP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 xml:space="preserve">職務類別：儲備幹部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工作待遇：待遇面議 （經常性薪資達4萬元或以上）</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工作性質：全職</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 xml:space="preserve">上班地點：台北市中山區市民大道三段209號3樓(B室)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管理責任：不需負擔管理責任</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出差外派：需出差，一年累積時間未定</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上班時段：日班</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休假制度：依公司規定</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可上班日：不限</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需求人數：2 人</w:t>
      </w:r>
    </w:p>
    <w:p w:rsidR="002548CE" w:rsidRPr="002548CE" w:rsidRDefault="002548CE" w:rsidP="002548CE">
      <w:pPr>
        <w:snapToGrid w:val="0"/>
        <w:ind w:left="360"/>
        <w:rPr>
          <w:rFonts w:ascii="微軟正黑體" w:eastAsia="微軟正黑體" w:hAnsi="微軟正黑體"/>
          <w:szCs w:val="24"/>
        </w:rPr>
      </w:pP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【條件要求】</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接受身份：上班族</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lastRenderedPageBreak/>
        <w:t>工作經歷：3年以上</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學歷要求：碩士以上</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科系要求：一般商業學類、經濟學相關</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語文條件：英文 -- 聽 /精通、說 /精通、讀 /精通、寫 /精通</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擅長工具：不拘</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工作技能：不拘</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其他條件：</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w:t>
      </w:r>
      <w:r w:rsidRPr="002548CE">
        <w:rPr>
          <w:rFonts w:ascii="微軟正黑體" w:eastAsia="微軟正黑體" w:hAnsi="微軟正黑體"/>
          <w:szCs w:val="24"/>
        </w:rPr>
        <w:t xml:space="preserve"> Solid interpersonal skills, people-oriented and customer centric.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w:t>
      </w:r>
      <w:r w:rsidRPr="002548CE">
        <w:rPr>
          <w:rFonts w:ascii="微軟正黑體" w:eastAsia="微軟正黑體" w:hAnsi="微軟正黑體"/>
          <w:szCs w:val="24"/>
        </w:rPr>
        <w:t xml:space="preserve"> Strong analytical, planning, problem solving skills and results driven.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w:t>
      </w:r>
      <w:r w:rsidRPr="002548CE">
        <w:rPr>
          <w:rFonts w:ascii="微軟正黑體" w:eastAsia="微軟正黑體" w:hAnsi="微軟正黑體"/>
          <w:szCs w:val="24"/>
        </w:rPr>
        <w:t xml:space="preserve"> Demonstrate entrepreneurship, proactive and willing to challenge status quo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w:t>
      </w:r>
      <w:r w:rsidRPr="002548CE">
        <w:rPr>
          <w:rFonts w:ascii="微軟正黑體" w:eastAsia="微軟正黑體" w:hAnsi="微軟正黑體"/>
          <w:szCs w:val="24"/>
        </w:rPr>
        <w:t xml:space="preserve"> Transparent and articulate communication skills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w:t>
      </w:r>
      <w:r w:rsidRPr="002548CE">
        <w:rPr>
          <w:rFonts w:ascii="微軟正黑體" w:eastAsia="微軟正黑體" w:hAnsi="微軟正黑體"/>
          <w:szCs w:val="24"/>
        </w:rPr>
        <w:t xml:space="preserve"> Flexible and convivial personality</w:t>
      </w:r>
    </w:p>
    <w:p w:rsidR="002548CE" w:rsidRPr="002548CE" w:rsidRDefault="002548CE" w:rsidP="002548CE">
      <w:pPr>
        <w:snapToGrid w:val="0"/>
        <w:ind w:left="360"/>
        <w:rPr>
          <w:rFonts w:ascii="微軟正黑體" w:eastAsia="微軟正黑體" w:hAnsi="微軟正黑體"/>
          <w:szCs w:val="24"/>
        </w:rPr>
      </w:pP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【公司福利】</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 xml:space="preserve">1. 具市場競爭力的薪酬獎勵制度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 xml:space="preserve">2. 新進人員第一年即享有15天年休假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 xml:space="preserve">3. 全薪病假與生日假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 xml:space="preserve">4. 年度健康檢查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 xml:space="preserve">5. 完善的團保內容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 xml:space="preserve">6. 三節禮金與禮品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 xml:space="preserve">7. 服務年資獎 </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8. 完善的教育訓練</w:t>
      </w:r>
    </w:p>
    <w:p w:rsidR="002548CE" w:rsidRPr="002548CE" w:rsidRDefault="002548CE" w:rsidP="002548CE">
      <w:pPr>
        <w:snapToGrid w:val="0"/>
        <w:ind w:left="360"/>
        <w:rPr>
          <w:rFonts w:ascii="微軟正黑體" w:eastAsia="微軟正黑體" w:hAnsi="微軟正黑體"/>
          <w:szCs w:val="24"/>
        </w:rPr>
      </w:pP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【報名方式】</w:t>
      </w:r>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保樂力加徵才計畫網站：</w:t>
      </w:r>
      <w:hyperlink r:id="rId7" w:history="1">
        <w:r w:rsidRPr="002548CE">
          <w:rPr>
            <w:rFonts w:ascii="微軟正黑體" w:eastAsia="微軟正黑體" w:hAnsi="微軟正黑體"/>
            <w:color w:val="0563C1" w:themeColor="hyperlink"/>
            <w:szCs w:val="24"/>
            <w:u w:val="single"/>
          </w:rPr>
          <w:t>https://bit.ly/2VG38C3</w:t>
        </w:r>
      </w:hyperlink>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104：</w:t>
      </w:r>
      <w:hyperlink r:id="rId8" w:history="1">
        <w:r w:rsidRPr="002548CE">
          <w:rPr>
            <w:rFonts w:ascii="微軟正黑體" w:eastAsia="微軟正黑體" w:hAnsi="微軟正黑體" w:hint="eastAsia"/>
            <w:color w:val="0563C1" w:themeColor="hyperlink"/>
            <w:szCs w:val="24"/>
            <w:u w:val="single"/>
          </w:rPr>
          <w:t>https://bit.ly/2Ep9tfo</w:t>
        </w:r>
      </w:hyperlink>
    </w:p>
    <w:p w:rsidR="002548CE" w:rsidRPr="002548CE" w:rsidRDefault="002548CE" w:rsidP="002548CE">
      <w:pPr>
        <w:snapToGrid w:val="0"/>
        <w:ind w:left="360"/>
        <w:rPr>
          <w:rFonts w:ascii="微軟正黑體" w:eastAsia="微軟正黑體" w:hAnsi="微軟正黑體"/>
          <w:szCs w:val="24"/>
        </w:rPr>
      </w:pPr>
      <w:r w:rsidRPr="002548CE">
        <w:rPr>
          <w:rFonts w:ascii="微軟正黑體" w:eastAsia="微軟正黑體" w:hAnsi="微軟正黑體" w:hint="eastAsia"/>
          <w:szCs w:val="24"/>
        </w:rPr>
        <w:t>Linkedin：</w:t>
      </w:r>
      <w:hyperlink r:id="rId9" w:history="1">
        <w:r w:rsidRPr="002548CE">
          <w:rPr>
            <w:rFonts w:ascii="微軟正黑體" w:eastAsia="微軟正黑體" w:hAnsi="微軟正黑體" w:hint="eastAsia"/>
            <w:color w:val="0563C1" w:themeColor="hyperlink"/>
            <w:szCs w:val="24"/>
            <w:u w:val="single"/>
          </w:rPr>
          <w:t>https://bit.ly/2VVdDX5</w:t>
        </w:r>
      </w:hyperlink>
    </w:p>
    <w:p w:rsidR="00C507BE" w:rsidRPr="002548CE" w:rsidRDefault="00C81AF6"/>
    <w:sectPr w:rsidR="00C507BE" w:rsidRPr="002548C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AF6" w:rsidRDefault="00C81AF6" w:rsidP="004F613A">
      <w:r>
        <w:separator/>
      </w:r>
    </w:p>
  </w:endnote>
  <w:endnote w:type="continuationSeparator" w:id="0">
    <w:p w:rsidR="00C81AF6" w:rsidRDefault="00C81AF6" w:rsidP="004F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embedRegular r:id="rId1" w:subsetted="1" w:fontKey="{7DF41659-CF5A-4A27-BD64-A28F4B7DD217}"/>
    <w:embedBold r:id="rId2" w:subsetted="1" w:fontKey="{D8CEAAC5-B52C-4E9B-AF06-9554BECA3D03}"/>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AF6" w:rsidRDefault="00C81AF6" w:rsidP="004F613A">
      <w:r>
        <w:separator/>
      </w:r>
    </w:p>
  </w:footnote>
  <w:footnote w:type="continuationSeparator" w:id="0">
    <w:p w:rsidR="00C81AF6" w:rsidRDefault="00C81AF6" w:rsidP="004F6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embedSystemFonts/>
  <w:saveSubsetFont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CE"/>
    <w:rsid w:val="00153CB8"/>
    <w:rsid w:val="001564A2"/>
    <w:rsid w:val="001E78BF"/>
    <w:rsid w:val="002548CE"/>
    <w:rsid w:val="003410F0"/>
    <w:rsid w:val="003E04A8"/>
    <w:rsid w:val="004F613A"/>
    <w:rsid w:val="00593A2F"/>
    <w:rsid w:val="006877DF"/>
    <w:rsid w:val="006B0251"/>
    <w:rsid w:val="007378A9"/>
    <w:rsid w:val="009F4F60"/>
    <w:rsid w:val="00B1427D"/>
    <w:rsid w:val="00C81AF6"/>
    <w:rsid w:val="00CE3571"/>
    <w:rsid w:val="00CE4AA4"/>
    <w:rsid w:val="00DD72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A5129B-1247-47B5-937B-A9439525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13A"/>
    <w:pPr>
      <w:tabs>
        <w:tab w:val="center" w:pos="4153"/>
        <w:tab w:val="right" w:pos="8306"/>
      </w:tabs>
      <w:snapToGrid w:val="0"/>
    </w:pPr>
    <w:rPr>
      <w:sz w:val="20"/>
      <w:szCs w:val="20"/>
    </w:rPr>
  </w:style>
  <w:style w:type="character" w:customStyle="1" w:styleId="a4">
    <w:name w:val="頁首 字元"/>
    <w:basedOn w:val="a0"/>
    <w:link w:val="a3"/>
    <w:uiPriority w:val="99"/>
    <w:rsid w:val="004F613A"/>
    <w:rPr>
      <w:sz w:val="20"/>
      <w:szCs w:val="20"/>
    </w:rPr>
  </w:style>
  <w:style w:type="paragraph" w:styleId="a5">
    <w:name w:val="footer"/>
    <w:basedOn w:val="a"/>
    <w:link w:val="a6"/>
    <w:uiPriority w:val="99"/>
    <w:unhideWhenUsed/>
    <w:rsid w:val="004F613A"/>
    <w:pPr>
      <w:tabs>
        <w:tab w:val="center" w:pos="4153"/>
        <w:tab w:val="right" w:pos="8306"/>
      </w:tabs>
      <w:snapToGrid w:val="0"/>
    </w:pPr>
    <w:rPr>
      <w:sz w:val="20"/>
      <w:szCs w:val="20"/>
    </w:rPr>
  </w:style>
  <w:style w:type="character" w:customStyle="1" w:styleId="a6">
    <w:name w:val="頁尾 字元"/>
    <w:basedOn w:val="a0"/>
    <w:link w:val="a5"/>
    <w:uiPriority w:val="99"/>
    <w:rsid w:val="004F61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Ep9tfo" TargetMode="External"/><Relationship Id="rId3" Type="http://schemas.openxmlformats.org/officeDocument/2006/relationships/webSettings" Target="webSettings.xml"/><Relationship Id="rId7" Type="http://schemas.openxmlformats.org/officeDocument/2006/relationships/hyperlink" Target="https://bit.ly/2VG38C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it.ly/2VVdDX5"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2019-05-23T06:00:00Z</dcterms:created>
  <dcterms:modified xsi:type="dcterms:W3CDTF">2019-05-23T06:01:00Z</dcterms:modified>
</cp:coreProperties>
</file>